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63" w:rsidRDefault="00285763" w:rsidP="00285763">
      <w:pPr>
        <w:jc w:val="center"/>
        <w:rPr>
          <w:b/>
          <w:u w:val="single"/>
        </w:rPr>
      </w:pPr>
      <w:r w:rsidRPr="00285763">
        <w:rPr>
          <w:b/>
          <w:u w:val="single"/>
        </w:rPr>
        <w:t xml:space="preserve">Governance </w:t>
      </w:r>
      <w:r w:rsidR="00906291">
        <w:rPr>
          <w:b/>
          <w:u w:val="single"/>
        </w:rPr>
        <w:t>A</w:t>
      </w:r>
      <w:r w:rsidRPr="00285763">
        <w:rPr>
          <w:b/>
          <w:u w:val="single"/>
        </w:rPr>
        <w:t xml:space="preserve">rrangements – </w:t>
      </w:r>
      <w:r w:rsidR="00906291">
        <w:rPr>
          <w:b/>
          <w:u w:val="single"/>
        </w:rPr>
        <w:t>V0.2</w:t>
      </w:r>
    </w:p>
    <w:p w:rsidR="005D3533" w:rsidRDefault="005D3533" w:rsidP="005D3533">
      <w:pPr>
        <w:jc w:val="both"/>
      </w:pPr>
      <w:r w:rsidRPr="00304EA1">
        <w:rPr>
          <w:b/>
        </w:rPr>
        <w:t>Note</w:t>
      </w:r>
      <w:r w:rsidR="00FD67A2" w:rsidRPr="00304EA1">
        <w:rPr>
          <w:b/>
        </w:rPr>
        <w:t>(1)</w:t>
      </w:r>
      <w:r w:rsidRPr="00304EA1">
        <w:rPr>
          <w:b/>
        </w:rPr>
        <w:t>:</w:t>
      </w:r>
      <w:r w:rsidRPr="005D3533">
        <w:t xml:space="preserve"> We assume the rules for the auction will be contained in a yet to be prepared document which we provisionally refer to as “Code” below; we assume there will be another document prepared and maintained by NG which we refer to as “Auction Guidelines” which deal with timing, submitting data and all manner of practical day-by-day auction mechanics.</w:t>
      </w:r>
    </w:p>
    <w:p w:rsidR="00FD67A2" w:rsidRDefault="00FD67A2" w:rsidP="005D3533">
      <w:pPr>
        <w:jc w:val="both"/>
      </w:pPr>
      <w:r w:rsidRPr="00304EA1">
        <w:rPr>
          <w:b/>
        </w:rPr>
        <w:t>Note(2):</w:t>
      </w:r>
      <w:r>
        <w:t xml:space="preserve"> We are envisaging that this “Code” will be different in character/nature to the existing “Codes”.  It is more akin to a rule book </w:t>
      </w:r>
      <w:r w:rsidR="00304EA1">
        <w:t xml:space="preserve">owned by </w:t>
      </w:r>
      <w:proofErr w:type="spellStart"/>
      <w:r w:rsidR="00304EA1">
        <w:t>Ofgem</w:t>
      </w:r>
      <w:proofErr w:type="spellEnd"/>
      <w:r w:rsidR="00304EA1">
        <w:t xml:space="preserve"> (which they can changed – process TBD) This “Code” contains the rules of the scheme and is not just of a technical nature.</w:t>
      </w:r>
      <w:r w:rsidR="00830E33">
        <w:t xml:space="preserve"> </w:t>
      </w:r>
      <w:r w:rsidR="00417AED">
        <w:t xml:space="preserve"> </w:t>
      </w:r>
    </w:p>
    <w:p w:rsidR="008A220D" w:rsidRDefault="008A220D" w:rsidP="005D3533">
      <w:pPr>
        <w:jc w:val="both"/>
      </w:pPr>
      <w:r w:rsidRPr="008A220D">
        <w:rPr>
          <w:b/>
        </w:rPr>
        <w:t>Note(3):</w:t>
      </w:r>
      <w:r>
        <w:t xml:space="preserve"> In addition to the above, we have to understand better the relationship between the nature of the capacity instruments (which create legal relations) and this “Code”. </w:t>
      </w:r>
      <w:r w:rsidR="00417AED">
        <w:t xml:space="preserve"> </w:t>
      </w:r>
    </w:p>
    <w:p w:rsidR="00417AED" w:rsidRPr="005D3533" w:rsidRDefault="00417AED" w:rsidP="005D3533">
      <w:pPr>
        <w:jc w:val="both"/>
      </w:pPr>
      <w:r w:rsidRPr="00E46987">
        <w:rPr>
          <w:b/>
        </w:rPr>
        <w:t>Note (4):</w:t>
      </w:r>
      <w:r>
        <w:t xml:space="preserve"> In the next iteration of this Table we will include the Settlement Agent.</w:t>
      </w:r>
    </w:p>
    <w:tbl>
      <w:tblPr>
        <w:tblStyle w:val="TableGrid"/>
        <w:tblW w:w="0" w:type="auto"/>
        <w:tblLook w:val="04A0"/>
      </w:tblPr>
      <w:tblGrid>
        <w:gridCol w:w="2488"/>
        <w:gridCol w:w="2883"/>
        <w:gridCol w:w="3356"/>
        <w:gridCol w:w="3076"/>
        <w:gridCol w:w="2371"/>
      </w:tblGrid>
      <w:tr w:rsidR="00CB32D9" w:rsidRPr="00285763" w:rsidTr="00906291">
        <w:tc>
          <w:tcPr>
            <w:tcW w:w="2488" w:type="dxa"/>
          </w:tcPr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</w:tc>
        <w:tc>
          <w:tcPr>
            <w:tcW w:w="2883" w:type="dxa"/>
          </w:tcPr>
          <w:p w:rsidR="009C3F3E" w:rsidRPr="004845B7" w:rsidRDefault="009C3F3E" w:rsidP="00294511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Role </w:t>
            </w:r>
            <w:r w:rsidR="00CB32D9">
              <w:rPr>
                <w:rFonts w:cs="Arial"/>
                <w:b/>
                <w:color w:val="1F497D" w:themeColor="text2"/>
                <w:szCs w:val="24"/>
              </w:rPr>
              <w:t xml:space="preserve">of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the System Operator</w:t>
            </w:r>
            <w:r w:rsidR="006E578F" w:rsidRPr="00A82DBA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  <w:r w:rsidR="00CB32D9"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="006E578F" w:rsidRPr="00A82DBA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 w:rsidR="00CB32D9"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356" w:type="dxa"/>
          </w:tcPr>
          <w:p w:rsidR="009C3F3E" w:rsidRPr="004845B7" w:rsidRDefault="00CB32D9" w:rsidP="00294511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>ecisions fo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r Government/Ministers </w:t>
            </w:r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 xml:space="preserve">in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076" w:type="dxa"/>
          </w:tcPr>
          <w:p w:rsidR="009C3F3E" w:rsidRPr="004845B7" w:rsidRDefault="00CB32D9" w:rsidP="00294511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 xml:space="preserve">ecisions for </w:t>
            </w:r>
            <w:proofErr w:type="spellStart"/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>Ofgem</w:t>
            </w:r>
            <w:proofErr w:type="spellEnd"/>
            <w:r w:rsidR="009C3F3E" w:rsidRPr="004845B7">
              <w:rPr>
                <w:rFonts w:cs="Arial"/>
                <w:b/>
                <w:color w:val="1F497D" w:themeColor="text2"/>
                <w:szCs w:val="24"/>
              </w:rPr>
              <w:t xml:space="preserve"> to oversee/change in steady state</w:t>
            </w:r>
          </w:p>
        </w:tc>
        <w:tc>
          <w:tcPr>
            <w:tcW w:w="2371" w:type="dxa"/>
          </w:tcPr>
          <w:p w:rsidR="007579F2" w:rsidRPr="004845B7" w:rsidRDefault="006E578F" w:rsidP="00294511">
            <w:pPr>
              <w:jc w:val="center"/>
              <w:rPr>
                <w:rFonts w:cs="Arial"/>
                <w:b/>
                <w:bCs/>
                <w:color w:val="1F497D" w:themeColor="text2"/>
                <w:sz w:val="16"/>
                <w:szCs w:val="16"/>
              </w:rPr>
            </w:pP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Choice of </w:t>
            </w:r>
            <w:r w:rsidR="00CB32D9">
              <w:rPr>
                <w:rFonts w:cs="Arial"/>
                <w:b/>
                <w:color w:val="1F497D" w:themeColor="text2"/>
                <w:szCs w:val="24"/>
              </w:rPr>
              <w:t>Legislative Vehicle</w:t>
            </w:r>
          </w:p>
        </w:tc>
      </w:tr>
      <w:tr w:rsidR="00CB32D9" w:rsidTr="00906291">
        <w:tc>
          <w:tcPr>
            <w:tcW w:w="2488" w:type="dxa"/>
          </w:tcPr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>Volume of capacity</w:t>
            </w:r>
          </w:p>
        </w:tc>
        <w:tc>
          <w:tcPr>
            <w:tcW w:w="2883" w:type="dxa"/>
          </w:tcPr>
          <w:p w:rsidR="0094779A" w:rsidRDefault="002E3514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Annually p</w:t>
            </w:r>
            <w:r w:rsidR="009C3F3E" w:rsidRPr="0094779A">
              <w:rPr>
                <w:rFonts w:cs="Arial"/>
                <w:szCs w:val="24"/>
              </w:rPr>
              <w:t xml:space="preserve">rovides analysis </w:t>
            </w:r>
            <w:r w:rsidR="0094779A" w:rsidRPr="0094779A">
              <w:rPr>
                <w:rFonts w:cs="Arial"/>
                <w:szCs w:val="24"/>
              </w:rPr>
              <w:t xml:space="preserve">and advice to Government </w:t>
            </w:r>
            <w:r w:rsidR="0094779A">
              <w:rPr>
                <w:rFonts w:cs="Arial"/>
                <w:szCs w:val="24"/>
              </w:rPr>
              <w:t>(</w:t>
            </w:r>
            <w:r w:rsidR="009C3F3E" w:rsidRPr="0094779A">
              <w:rPr>
                <w:rFonts w:cs="Arial"/>
                <w:szCs w:val="24"/>
              </w:rPr>
              <w:t>PTE to scrutinise</w:t>
            </w:r>
            <w:r w:rsidR="0094779A">
              <w:rPr>
                <w:rFonts w:cs="Arial"/>
                <w:szCs w:val="24"/>
              </w:rPr>
              <w:t>) and is interpreted by Government who set Demand Curve.</w:t>
            </w:r>
          </w:p>
          <w:p w:rsidR="00FF719C" w:rsidRPr="00FD67A2" w:rsidRDefault="002E3514" w:rsidP="00E469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b/>
                <w:i/>
                <w:color w:val="548DD4" w:themeColor="text2" w:themeTint="99"/>
                <w:szCs w:val="24"/>
              </w:rPr>
            </w:pPr>
            <w:r w:rsidRPr="00FD67A2">
              <w:rPr>
                <w:rFonts w:cs="Arial"/>
                <w:b/>
                <w:i/>
                <w:color w:val="548DD4" w:themeColor="text2" w:themeTint="99"/>
                <w:szCs w:val="24"/>
              </w:rPr>
              <w:t xml:space="preserve">NOTE – on-going discussions </w:t>
            </w:r>
          </w:p>
        </w:tc>
        <w:tc>
          <w:tcPr>
            <w:tcW w:w="3356" w:type="dxa"/>
          </w:tcPr>
          <w:p w:rsidR="009C3F3E" w:rsidRPr="004845B7" w:rsidRDefault="009C3F3E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 xml:space="preserve">Setting </w:t>
            </w:r>
            <w:r w:rsidR="002E3514">
              <w:rPr>
                <w:rFonts w:cs="Arial"/>
                <w:szCs w:val="24"/>
              </w:rPr>
              <w:t>of an</w:t>
            </w:r>
            <w:r w:rsidRPr="004845B7">
              <w:rPr>
                <w:rFonts w:cs="Arial"/>
                <w:szCs w:val="24"/>
              </w:rPr>
              <w:t xml:space="preserve"> enduring  reliability standard</w:t>
            </w:r>
            <w:r w:rsidR="002E3514">
              <w:rPr>
                <w:rFonts w:cs="Arial"/>
                <w:szCs w:val="24"/>
              </w:rPr>
              <w:t xml:space="preserve"> &amp; Demand Curve Methodology</w:t>
            </w:r>
          </w:p>
          <w:p w:rsidR="007721E2" w:rsidRPr="00294511" w:rsidRDefault="002E3514" w:rsidP="002E35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294511">
              <w:rPr>
                <w:rFonts w:cs="Arial"/>
                <w:szCs w:val="24"/>
              </w:rPr>
              <w:t>Annually determining a Demand Curve for T-4 and T-1 auction</w:t>
            </w:r>
            <w:r w:rsidR="00294511">
              <w:rPr>
                <w:rFonts w:cs="Arial"/>
                <w:szCs w:val="24"/>
              </w:rPr>
              <w:t>s</w:t>
            </w:r>
          </w:p>
          <w:p w:rsidR="007721E2" w:rsidRPr="004845B7" w:rsidRDefault="007721E2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</w:tc>
        <w:tc>
          <w:tcPr>
            <w:tcW w:w="3076" w:type="dxa"/>
          </w:tcPr>
          <w:p w:rsidR="00294511" w:rsidRDefault="00294511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Monitoring</w:t>
            </w:r>
          </w:p>
          <w:p w:rsidR="009C3F3E" w:rsidRPr="00FD67A2" w:rsidRDefault="00294511" w:rsidP="00E469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b/>
                <w:i/>
                <w:color w:val="548DD4" w:themeColor="text2" w:themeTint="99"/>
                <w:szCs w:val="24"/>
              </w:rPr>
            </w:pPr>
            <w:r w:rsidRPr="00FD67A2">
              <w:rPr>
                <w:rFonts w:cs="Arial"/>
                <w:b/>
                <w:i/>
                <w:color w:val="548DD4" w:themeColor="text2" w:themeTint="99"/>
                <w:szCs w:val="24"/>
              </w:rPr>
              <w:t xml:space="preserve">NOTE – </w:t>
            </w:r>
            <w:r w:rsidR="00E46987">
              <w:rPr>
                <w:rFonts w:cs="Arial"/>
                <w:b/>
                <w:i/>
                <w:color w:val="548DD4" w:themeColor="text2" w:themeTint="99"/>
                <w:szCs w:val="24"/>
              </w:rPr>
              <w:t>on-going discussion</w:t>
            </w:r>
            <w:r w:rsidR="0054768C" w:rsidRPr="00FD67A2">
              <w:rPr>
                <w:rFonts w:cs="Arial"/>
                <w:b/>
                <w:i/>
                <w:color w:val="548DD4" w:themeColor="text2" w:themeTint="99"/>
                <w:szCs w:val="24"/>
              </w:rPr>
              <w:t xml:space="preserve"> </w:t>
            </w:r>
          </w:p>
        </w:tc>
        <w:tc>
          <w:tcPr>
            <w:tcW w:w="2371" w:type="dxa"/>
          </w:tcPr>
          <w:p w:rsidR="009C3F3E" w:rsidRPr="004845B7" w:rsidRDefault="00294511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Regulation</w:t>
            </w:r>
          </w:p>
          <w:p w:rsidR="00326A25" w:rsidRPr="004845B7" w:rsidRDefault="00326A25" w:rsidP="004845B7">
            <w:pPr>
              <w:pStyle w:val="ListParagraph"/>
              <w:spacing w:after="0" w:line="240" w:lineRule="auto"/>
              <w:rPr>
                <w:rFonts w:cs="Arial"/>
                <w:szCs w:val="24"/>
              </w:rPr>
            </w:pPr>
          </w:p>
          <w:p w:rsidR="00326A25" w:rsidRPr="004845B7" w:rsidRDefault="00326A25" w:rsidP="004845B7">
            <w:pPr>
              <w:pStyle w:val="ListParagraph"/>
              <w:spacing w:after="0" w:line="240" w:lineRule="auto"/>
              <w:rPr>
                <w:rFonts w:cs="Arial"/>
                <w:szCs w:val="24"/>
              </w:rPr>
            </w:pPr>
          </w:p>
          <w:p w:rsidR="00326A25" w:rsidRPr="004845B7" w:rsidRDefault="00326A25" w:rsidP="004845B7">
            <w:pPr>
              <w:pStyle w:val="ListParagraph"/>
              <w:spacing w:after="0" w:line="240" w:lineRule="auto"/>
              <w:rPr>
                <w:rFonts w:cs="Arial"/>
                <w:szCs w:val="24"/>
              </w:rPr>
            </w:pPr>
          </w:p>
        </w:tc>
      </w:tr>
    </w:tbl>
    <w:p w:rsidR="00197737" w:rsidRDefault="00197737">
      <w:r>
        <w:br w:type="page"/>
      </w:r>
    </w:p>
    <w:tbl>
      <w:tblPr>
        <w:tblStyle w:val="TableGrid"/>
        <w:tblW w:w="0" w:type="auto"/>
        <w:tblLook w:val="04A0"/>
      </w:tblPr>
      <w:tblGrid>
        <w:gridCol w:w="2488"/>
        <w:gridCol w:w="2883"/>
        <w:gridCol w:w="3356"/>
        <w:gridCol w:w="3076"/>
        <w:gridCol w:w="2371"/>
      </w:tblGrid>
      <w:tr w:rsidR="00197737" w:rsidRPr="00285763" w:rsidTr="00830E33">
        <w:trPr>
          <w:trHeight w:val="983"/>
        </w:trPr>
        <w:tc>
          <w:tcPr>
            <w:tcW w:w="2488" w:type="dxa"/>
          </w:tcPr>
          <w:p w:rsidR="00197737" w:rsidRPr="004845B7" w:rsidRDefault="00197737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  <w:p w:rsidR="00197737" w:rsidRPr="004845B7" w:rsidRDefault="00197737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</w:tc>
        <w:tc>
          <w:tcPr>
            <w:tcW w:w="2883" w:type="dxa"/>
          </w:tcPr>
          <w:p w:rsidR="00197737" w:rsidRPr="004845B7" w:rsidRDefault="00197737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Role 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of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the System Operator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356" w:type="dxa"/>
          </w:tcPr>
          <w:p w:rsidR="00197737" w:rsidRPr="004845B7" w:rsidRDefault="00197737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ecisions fo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r Government/Ministers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in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076" w:type="dxa"/>
          </w:tcPr>
          <w:p w:rsidR="00197737" w:rsidRPr="004845B7" w:rsidRDefault="00197737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ecisions for </w:t>
            </w:r>
            <w:proofErr w:type="spellStart"/>
            <w:r w:rsidRPr="004845B7">
              <w:rPr>
                <w:rFonts w:cs="Arial"/>
                <w:b/>
                <w:color w:val="1F497D" w:themeColor="text2"/>
                <w:szCs w:val="24"/>
              </w:rPr>
              <w:t>Ofgem</w:t>
            </w:r>
            <w:proofErr w:type="spellEnd"/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 to oversee/change in steady state</w:t>
            </w:r>
          </w:p>
        </w:tc>
        <w:tc>
          <w:tcPr>
            <w:tcW w:w="2371" w:type="dxa"/>
          </w:tcPr>
          <w:p w:rsidR="00197737" w:rsidRPr="004845B7" w:rsidRDefault="00197737" w:rsidP="00417AED">
            <w:pPr>
              <w:jc w:val="center"/>
              <w:rPr>
                <w:rFonts w:cs="Arial"/>
                <w:b/>
                <w:bCs/>
                <w:color w:val="1F497D" w:themeColor="text2"/>
                <w:sz w:val="16"/>
                <w:szCs w:val="16"/>
              </w:rPr>
            </w:pP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Choice of </w:t>
            </w:r>
            <w:r>
              <w:rPr>
                <w:rFonts w:cs="Arial"/>
                <w:b/>
                <w:color w:val="1F497D" w:themeColor="text2"/>
                <w:szCs w:val="24"/>
              </w:rPr>
              <w:t>Legislative Vehicle</w:t>
            </w:r>
          </w:p>
        </w:tc>
      </w:tr>
      <w:tr w:rsidR="00CB32D9" w:rsidTr="00906291">
        <w:tc>
          <w:tcPr>
            <w:tcW w:w="2488" w:type="dxa"/>
          </w:tcPr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Auction and eligibility </w:t>
            </w:r>
            <w:r w:rsidRPr="004845B7">
              <w:rPr>
                <w:rFonts w:cs="Arial"/>
                <w:color w:val="1F497D" w:themeColor="text2"/>
                <w:szCs w:val="24"/>
              </w:rPr>
              <w:t>(including pre-qualification criteria, running the primary and secondary auctions, and transitional arrangements)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</w:p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</w:tc>
        <w:tc>
          <w:tcPr>
            <w:tcW w:w="2883" w:type="dxa"/>
          </w:tcPr>
          <w:p w:rsidR="00294511" w:rsidRDefault="0054768C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 w:rsidRPr="00294511">
              <w:rPr>
                <w:rFonts w:cs="Arial"/>
                <w:szCs w:val="24"/>
              </w:rPr>
              <w:t xml:space="preserve">Administration of auction </w:t>
            </w:r>
            <w:r w:rsidR="007579F2" w:rsidRPr="00294511">
              <w:rPr>
                <w:rFonts w:cs="Arial"/>
                <w:szCs w:val="24"/>
              </w:rPr>
              <w:t xml:space="preserve">and </w:t>
            </w:r>
            <w:r w:rsidRPr="00294511">
              <w:rPr>
                <w:rFonts w:cs="Arial"/>
                <w:szCs w:val="24"/>
              </w:rPr>
              <w:t xml:space="preserve">eligibility </w:t>
            </w:r>
            <w:r w:rsidR="00830E33">
              <w:rPr>
                <w:rFonts w:cs="Arial"/>
                <w:szCs w:val="24"/>
              </w:rPr>
              <w:t xml:space="preserve"> </w:t>
            </w:r>
          </w:p>
          <w:p w:rsidR="00304EA1" w:rsidRDefault="00304EA1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De-rating plant</w:t>
            </w:r>
            <w:r w:rsidR="00E46987" w:rsidRPr="00FD67A2">
              <w:rPr>
                <w:rFonts w:cs="Arial"/>
                <w:b/>
                <w:i/>
                <w:color w:val="548DD4" w:themeColor="text2" w:themeTint="99"/>
                <w:szCs w:val="24"/>
              </w:rPr>
              <w:t xml:space="preserve"> NOTE – on-going discussions</w:t>
            </w:r>
          </w:p>
          <w:p w:rsidR="00294511" w:rsidRPr="00294511" w:rsidRDefault="0054768C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Style w:val="CommentReference"/>
                <w:rFonts w:cs="Arial"/>
                <w:sz w:val="24"/>
                <w:szCs w:val="24"/>
              </w:rPr>
            </w:pPr>
            <w:r w:rsidRPr="00294511">
              <w:rPr>
                <w:rFonts w:cs="Arial"/>
                <w:szCs w:val="24"/>
              </w:rPr>
              <w:t xml:space="preserve">Develop </w:t>
            </w:r>
            <w:r w:rsidR="007579F2" w:rsidRPr="00294511">
              <w:rPr>
                <w:rFonts w:cs="Arial"/>
                <w:szCs w:val="24"/>
              </w:rPr>
              <w:t>and</w:t>
            </w:r>
            <w:r w:rsidRPr="00294511">
              <w:rPr>
                <w:rFonts w:cs="Arial"/>
                <w:szCs w:val="24"/>
              </w:rPr>
              <w:t xml:space="preserve"> maintain </w:t>
            </w:r>
            <w:r w:rsidR="00294511" w:rsidRPr="00294511">
              <w:rPr>
                <w:rFonts w:cs="Arial"/>
                <w:szCs w:val="24"/>
              </w:rPr>
              <w:t>auction</w:t>
            </w:r>
            <w:r w:rsidRPr="00294511">
              <w:rPr>
                <w:rFonts w:cs="Arial"/>
                <w:szCs w:val="24"/>
              </w:rPr>
              <w:t xml:space="preserve"> </w:t>
            </w:r>
            <w:r w:rsidR="00294511">
              <w:rPr>
                <w:rFonts w:cs="Arial"/>
                <w:szCs w:val="24"/>
              </w:rPr>
              <w:t xml:space="preserve"> </w:t>
            </w:r>
            <w:r w:rsidRPr="00294511">
              <w:rPr>
                <w:rFonts w:cs="Arial"/>
                <w:szCs w:val="24"/>
              </w:rPr>
              <w:t>IT system</w:t>
            </w:r>
          </w:p>
          <w:p w:rsidR="009C3F3E" w:rsidRPr="00294511" w:rsidRDefault="0054768C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 w:rsidRPr="00294511">
              <w:rPr>
                <w:rFonts w:cs="Arial"/>
                <w:szCs w:val="24"/>
              </w:rPr>
              <w:t>Providing information to capacity</w:t>
            </w:r>
            <w:r w:rsidR="005D3533">
              <w:rPr>
                <w:rFonts w:cs="Arial"/>
                <w:szCs w:val="24"/>
              </w:rPr>
              <w:t xml:space="preserve"> providers e.g. “Auction Guidelines” </w:t>
            </w:r>
            <w:r w:rsidR="00830E33">
              <w:rPr>
                <w:rFonts w:cs="Arial"/>
                <w:szCs w:val="24"/>
              </w:rPr>
              <w:t xml:space="preserve"> </w:t>
            </w:r>
          </w:p>
          <w:p w:rsidR="00197737" w:rsidRDefault="00197737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Notifying successful bidders and issuing instruments</w:t>
            </w:r>
          </w:p>
          <w:p w:rsidR="0054768C" w:rsidRPr="004845B7" w:rsidRDefault="00197737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Preparing report(s) on the </w:t>
            </w:r>
            <w:r w:rsidR="0054768C" w:rsidRPr="004845B7">
              <w:rPr>
                <w:rFonts w:cs="Arial"/>
                <w:szCs w:val="24"/>
              </w:rPr>
              <w:t xml:space="preserve">auction results to relevant parties </w:t>
            </w:r>
          </w:p>
          <w:p w:rsidR="0054768C" w:rsidRPr="00FD67A2" w:rsidRDefault="00197737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b/>
                <w:color w:val="548DD4" w:themeColor="text2" w:themeTint="99"/>
                <w:szCs w:val="24"/>
              </w:rPr>
            </w:pPr>
            <w:r>
              <w:rPr>
                <w:rFonts w:cs="Arial"/>
                <w:szCs w:val="24"/>
              </w:rPr>
              <w:t>Providing data to</w:t>
            </w:r>
            <w:r w:rsidR="005A440E">
              <w:rPr>
                <w:rFonts w:cs="Arial"/>
                <w:szCs w:val="24"/>
              </w:rPr>
              <w:t xml:space="preserve"> the SA on auction results</w:t>
            </w:r>
          </w:p>
          <w:p w:rsidR="00CD562B" w:rsidRPr="00830E33" w:rsidRDefault="00C00CB7" w:rsidP="004845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bCs/>
                <w:color w:val="000000" w:themeColor="text1"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</w:p>
          <w:p w:rsidR="0054768C" w:rsidRDefault="0054768C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830E33" w:rsidRDefault="00830E33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830E33" w:rsidRDefault="00830E33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830E33" w:rsidRPr="004845B7" w:rsidRDefault="00830E33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</w:tc>
        <w:tc>
          <w:tcPr>
            <w:tcW w:w="3356" w:type="dxa"/>
          </w:tcPr>
          <w:p w:rsidR="009C3F3E" w:rsidRPr="004845B7" w:rsidRDefault="009C3F3E" w:rsidP="004845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Decision on whether to move from DSR transitional arrangements to universal arrangements for all capacity providers</w:t>
            </w:r>
          </w:p>
        </w:tc>
        <w:tc>
          <w:tcPr>
            <w:tcW w:w="3076" w:type="dxa"/>
          </w:tcPr>
          <w:p w:rsidR="009C3F3E" w:rsidRPr="004845B7" w:rsidRDefault="009C3F3E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 xml:space="preserve">Changes to the type of auction (e.g. pay as clear </w:t>
            </w:r>
            <w:r w:rsidR="00304EA1" w:rsidRPr="004845B7">
              <w:rPr>
                <w:rFonts w:cs="Arial"/>
                <w:szCs w:val="24"/>
              </w:rPr>
              <w:t>vs.</w:t>
            </w:r>
            <w:r w:rsidRPr="004845B7">
              <w:rPr>
                <w:rFonts w:cs="Arial"/>
                <w:szCs w:val="24"/>
              </w:rPr>
              <w:t xml:space="preserve"> pay as bid)</w:t>
            </w:r>
          </w:p>
          <w:p w:rsidR="00304EA1" w:rsidRPr="00304EA1" w:rsidRDefault="009C3F3E" w:rsidP="004845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bCs/>
                <w:color w:val="000000" w:themeColor="text1"/>
                <w:szCs w:val="24"/>
              </w:rPr>
            </w:pPr>
            <w:r w:rsidRPr="00304EA1">
              <w:rPr>
                <w:rFonts w:cs="Arial"/>
                <w:szCs w:val="24"/>
              </w:rPr>
              <w:t xml:space="preserve">Changes to technical details e.g. contract length, lead in time, treatment of new and existing and </w:t>
            </w:r>
            <w:r w:rsidR="00304EA1" w:rsidRPr="00304EA1">
              <w:rPr>
                <w:rFonts w:cs="Arial"/>
                <w:szCs w:val="24"/>
              </w:rPr>
              <w:t xml:space="preserve">eligibility criteria </w:t>
            </w:r>
          </w:p>
          <w:p w:rsidR="009C3F3E" w:rsidRPr="00304EA1" w:rsidRDefault="00830E33" w:rsidP="004845B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bCs/>
                <w:color w:val="000000" w:themeColor="text1"/>
                <w:szCs w:val="24"/>
              </w:rPr>
            </w:pPr>
            <w:r>
              <w:rPr>
                <w:rFonts w:cs="Arial"/>
                <w:szCs w:val="24"/>
              </w:rPr>
              <w:t xml:space="preserve">Requirements for </w:t>
            </w:r>
            <w:r w:rsidR="009C3F3E" w:rsidRPr="00304EA1">
              <w:rPr>
                <w:rFonts w:cs="Arial"/>
                <w:szCs w:val="24"/>
              </w:rPr>
              <w:t xml:space="preserve">Information transparency of auction rules/ announcement </w:t>
            </w:r>
          </w:p>
          <w:p w:rsidR="009C3F3E" w:rsidRDefault="009C3F3E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Changes to technical rules e.g. format and process of pre-qualification criteria, transitional arrangements</w:t>
            </w:r>
            <w:r w:rsidR="00830E33">
              <w:rPr>
                <w:rFonts w:cs="Arial"/>
                <w:szCs w:val="24"/>
              </w:rPr>
              <w:t>, market power mitigation</w:t>
            </w:r>
            <w:r w:rsidR="007579F2" w:rsidRPr="004845B7">
              <w:rPr>
                <w:rFonts w:cs="Arial"/>
                <w:szCs w:val="24"/>
              </w:rPr>
              <w:t xml:space="preserve">, price stabilisation and </w:t>
            </w:r>
            <w:proofErr w:type="spellStart"/>
            <w:r w:rsidR="007579F2" w:rsidRPr="004845B7">
              <w:rPr>
                <w:rFonts w:cs="Arial"/>
                <w:szCs w:val="24"/>
              </w:rPr>
              <w:t>derating</w:t>
            </w:r>
            <w:proofErr w:type="spellEnd"/>
            <w:r w:rsidR="007579F2" w:rsidRPr="004845B7">
              <w:rPr>
                <w:rFonts w:cs="Arial"/>
                <w:szCs w:val="24"/>
              </w:rPr>
              <w:t xml:space="preserve"> plants</w:t>
            </w:r>
            <w:r w:rsidR="00830E33">
              <w:rPr>
                <w:rFonts w:cs="Arial"/>
                <w:szCs w:val="24"/>
              </w:rPr>
              <w:t xml:space="preserve"> algorithm</w:t>
            </w:r>
          </w:p>
          <w:p w:rsidR="009C3F3E" w:rsidRPr="004845B7" w:rsidRDefault="00C00CB7" w:rsidP="004479F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Cs w:val="24"/>
              </w:rPr>
            </w:pPr>
            <w:r w:rsidRPr="004479F6">
              <w:rPr>
                <w:rFonts w:cs="Arial"/>
                <w:szCs w:val="24"/>
              </w:rPr>
              <w:t>Auction mechanics e.g. number of auction rounds, size of bid decrements and format of bids</w:t>
            </w:r>
          </w:p>
        </w:tc>
        <w:tc>
          <w:tcPr>
            <w:tcW w:w="2371" w:type="dxa"/>
          </w:tcPr>
          <w:p w:rsidR="0054768C" w:rsidRPr="004845B7" w:rsidRDefault="0054768C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Participation</w:t>
            </w:r>
            <w:r w:rsidR="007579F2" w:rsidRPr="004845B7">
              <w:rPr>
                <w:rFonts w:cs="Arial"/>
                <w:szCs w:val="24"/>
              </w:rPr>
              <w:t xml:space="preserve"> requirements to be set out in regulations</w:t>
            </w:r>
            <w:r w:rsidR="00830E33">
              <w:rPr>
                <w:rFonts w:cs="Arial"/>
                <w:szCs w:val="24"/>
              </w:rPr>
              <w:t xml:space="preserve"> </w:t>
            </w:r>
            <w:r w:rsidR="00830E33" w:rsidRPr="00830E33">
              <w:rPr>
                <w:rFonts w:cs="Arial"/>
                <w:b/>
                <w:color w:val="548DD4" w:themeColor="text2" w:themeTint="99"/>
                <w:szCs w:val="24"/>
              </w:rPr>
              <w:t>TBC</w:t>
            </w:r>
          </w:p>
          <w:p w:rsidR="009C3F3E" w:rsidRPr="004845B7" w:rsidRDefault="00830E33" w:rsidP="004845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Most of these issues to be place in “Code”</w:t>
            </w:r>
          </w:p>
          <w:p w:rsidR="0054768C" w:rsidRPr="004845B7" w:rsidRDefault="0054768C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326A25" w:rsidRPr="004845B7" w:rsidRDefault="00326A25" w:rsidP="004845B7">
            <w:pPr>
              <w:pStyle w:val="ListParagraph"/>
              <w:spacing w:after="0" w:line="240" w:lineRule="auto"/>
              <w:rPr>
                <w:rFonts w:cs="Arial"/>
                <w:szCs w:val="24"/>
              </w:rPr>
            </w:pPr>
          </w:p>
          <w:p w:rsidR="00326A25" w:rsidRPr="004845B7" w:rsidRDefault="00326A25" w:rsidP="004845B7">
            <w:pPr>
              <w:pStyle w:val="ListParagraph"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830E33" w:rsidRPr="00285763" w:rsidTr="008A220D">
        <w:trPr>
          <w:trHeight w:val="1266"/>
        </w:trPr>
        <w:tc>
          <w:tcPr>
            <w:tcW w:w="2488" w:type="dxa"/>
          </w:tcPr>
          <w:p w:rsidR="00830E33" w:rsidRPr="004845B7" w:rsidRDefault="00830E33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  <w:p w:rsidR="00830E33" w:rsidRPr="004845B7" w:rsidRDefault="00830E33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</w:tc>
        <w:tc>
          <w:tcPr>
            <w:tcW w:w="2883" w:type="dxa"/>
          </w:tcPr>
          <w:p w:rsidR="00830E33" w:rsidRPr="004845B7" w:rsidRDefault="00830E33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Role 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of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the System Operator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356" w:type="dxa"/>
          </w:tcPr>
          <w:p w:rsidR="00830E33" w:rsidRPr="004845B7" w:rsidRDefault="00830E33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ecisions fo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r Government/Ministers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in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076" w:type="dxa"/>
          </w:tcPr>
          <w:p w:rsidR="00830E33" w:rsidRPr="004845B7" w:rsidRDefault="00830E33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ecisions for </w:t>
            </w:r>
            <w:proofErr w:type="spellStart"/>
            <w:r w:rsidRPr="004845B7">
              <w:rPr>
                <w:rFonts w:cs="Arial"/>
                <w:b/>
                <w:color w:val="1F497D" w:themeColor="text2"/>
                <w:szCs w:val="24"/>
              </w:rPr>
              <w:t>Ofgem</w:t>
            </w:r>
            <w:proofErr w:type="spellEnd"/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 to oversee/change in steady state</w:t>
            </w:r>
          </w:p>
        </w:tc>
        <w:tc>
          <w:tcPr>
            <w:tcW w:w="2371" w:type="dxa"/>
          </w:tcPr>
          <w:p w:rsidR="00830E33" w:rsidRPr="004845B7" w:rsidRDefault="00830E33" w:rsidP="00417AED">
            <w:pPr>
              <w:jc w:val="center"/>
              <w:rPr>
                <w:rFonts w:cs="Arial"/>
                <w:b/>
                <w:bCs/>
                <w:color w:val="1F497D" w:themeColor="text2"/>
                <w:sz w:val="16"/>
                <w:szCs w:val="16"/>
              </w:rPr>
            </w:pP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Choice of </w:t>
            </w:r>
            <w:r>
              <w:rPr>
                <w:rFonts w:cs="Arial"/>
                <w:b/>
                <w:color w:val="1F497D" w:themeColor="text2"/>
                <w:szCs w:val="24"/>
              </w:rPr>
              <w:t>Legislative Vehicle</w:t>
            </w:r>
          </w:p>
        </w:tc>
      </w:tr>
      <w:tr w:rsidR="00CB32D9" w:rsidTr="00906291">
        <w:tc>
          <w:tcPr>
            <w:tcW w:w="2488" w:type="dxa"/>
          </w:tcPr>
          <w:p w:rsidR="009C3F3E" w:rsidRPr="004845B7" w:rsidRDefault="009C3F3E" w:rsidP="005A440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>Deliver</w:t>
            </w:r>
            <w:r w:rsidR="005A440E">
              <w:rPr>
                <w:rFonts w:cs="Arial"/>
                <w:b/>
                <w:color w:val="1F497D" w:themeColor="text2"/>
                <w:szCs w:val="24"/>
              </w:rPr>
              <w:t xml:space="preserve"> Year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</w:p>
        </w:tc>
        <w:tc>
          <w:tcPr>
            <w:tcW w:w="2883" w:type="dxa"/>
          </w:tcPr>
          <w:p w:rsidR="005A440E" w:rsidRPr="005A440E" w:rsidRDefault="005A440E" w:rsidP="005A44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data to the SA so that the penalty regime can be administered</w:t>
            </w:r>
            <w:r w:rsidR="007579F2" w:rsidRPr="004845B7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according to the “Code”</w:t>
            </w:r>
          </w:p>
          <w:p w:rsidR="00355CC1" w:rsidRPr="004845B7" w:rsidRDefault="00355CC1" w:rsidP="005A440E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9C3F3E" w:rsidRDefault="00355CC1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Monitoring plants coming onto the system and whether they have met milestones/criteria to inform decision on penalties</w:t>
            </w:r>
            <w:r w:rsidR="007579F2" w:rsidRPr="004845B7">
              <w:rPr>
                <w:rFonts w:cs="Arial"/>
                <w:szCs w:val="24"/>
              </w:rPr>
              <w:t xml:space="preserve"> </w:t>
            </w:r>
          </w:p>
          <w:p w:rsidR="00CD5E25" w:rsidRPr="00CD5E25" w:rsidRDefault="00CD5E25" w:rsidP="00CD5E25">
            <w:pPr>
              <w:pStyle w:val="ListParagraph"/>
              <w:rPr>
                <w:rFonts w:cs="Arial"/>
                <w:szCs w:val="24"/>
              </w:rPr>
            </w:pPr>
          </w:p>
          <w:p w:rsidR="00CD5E25" w:rsidRPr="004845B7" w:rsidRDefault="00CD5E25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Testing</w:t>
            </w:r>
          </w:p>
          <w:p w:rsidR="009C3F3E" w:rsidRDefault="009C3F3E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  <w:p w:rsidR="00CD5E25" w:rsidRPr="004845B7" w:rsidRDefault="00CD5E25" w:rsidP="004845B7">
            <w:pPr>
              <w:pStyle w:val="ListParagraph"/>
              <w:spacing w:after="0" w:line="240" w:lineRule="auto"/>
              <w:ind w:left="360"/>
              <w:rPr>
                <w:rFonts w:cs="Arial"/>
                <w:szCs w:val="24"/>
              </w:rPr>
            </w:pPr>
          </w:p>
        </w:tc>
        <w:tc>
          <w:tcPr>
            <w:tcW w:w="3356" w:type="dxa"/>
          </w:tcPr>
          <w:p w:rsidR="009C3F3E" w:rsidRPr="005A440E" w:rsidRDefault="009C3F3E" w:rsidP="005A440E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3076" w:type="dxa"/>
          </w:tcPr>
          <w:p w:rsidR="009C3F3E" w:rsidRPr="004845B7" w:rsidRDefault="009C3F3E" w:rsidP="004845B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 xml:space="preserve">Changes to the type of regime (e.g. administrative </w:t>
            </w:r>
            <w:proofErr w:type="spellStart"/>
            <w:r w:rsidRPr="004845B7">
              <w:rPr>
                <w:rFonts w:cs="Arial"/>
                <w:szCs w:val="24"/>
              </w:rPr>
              <w:t>vs</w:t>
            </w:r>
            <w:proofErr w:type="spellEnd"/>
            <w:r w:rsidRPr="004845B7">
              <w:rPr>
                <w:rFonts w:cs="Arial"/>
                <w:szCs w:val="24"/>
              </w:rPr>
              <w:t xml:space="preserve"> reliability options</w:t>
            </w:r>
            <w:r w:rsidR="007579F2" w:rsidRPr="004845B7">
              <w:rPr>
                <w:rFonts w:cs="Arial"/>
                <w:szCs w:val="24"/>
              </w:rPr>
              <w:t xml:space="preserve"> and to take account of cash-out reform</w:t>
            </w:r>
            <w:r w:rsidRPr="004845B7">
              <w:rPr>
                <w:rFonts w:cs="Arial"/>
                <w:szCs w:val="24"/>
              </w:rPr>
              <w:t>)</w:t>
            </w:r>
          </w:p>
          <w:p w:rsidR="007579F2" w:rsidRPr="004845B7" w:rsidRDefault="009C3F3E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Changes to technical rules</w:t>
            </w:r>
            <w:r w:rsidR="00843C2A" w:rsidRPr="004845B7">
              <w:rPr>
                <w:rFonts w:cs="Arial"/>
                <w:szCs w:val="24"/>
              </w:rPr>
              <w:t xml:space="preserve"> e.g. </w:t>
            </w:r>
            <w:r w:rsidRPr="004845B7">
              <w:rPr>
                <w:rFonts w:cs="Arial"/>
                <w:szCs w:val="24"/>
              </w:rPr>
              <w:t>definition of scarcity events, format of testing regime, criteria for failure to meet milestones resulting in loss of financial bond, obligations on capacity providers</w:t>
            </w:r>
            <w:r w:rsidR="007579F2" w:rsidRPr="004845B7">
              <w:rPr>
                <w:rFonts w:cs="Arial"/>
                <w:szCs w:val="24"/>
              </w:rPr>
              <w:t xml:space="preserve"> and capping penalties </w:t>
            </w:r>
          </w:p>
          <w:p w:rsidR="00843C2A" w:rsidRPr="004845B7" w:rsidRDefault="007579F2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Measures to prevent gaming e.g. changing rules to avoid perverse outcomes and taking enforcement action</w:t>
            </w:r>
            <w:r w:rsidR="009C3F3E" w:rsidRPr="004845B7">
              <w:rPr>
                <w:rFonts w:cs="Arial"/>
                <w:szCs w:val="24"/>
              </w:rPr>
              <w:t xml:space="preserve">  </w:t>
            </w:r>
          </w:p>
        </w:tc>
        <w:tc>
          <w:tcPr>
            <w:tcW w:w="2371" w:type="dxa"/>
          </w:tcPr>
          <w:p w:rsidR="009C3F3E" w:rsidRPr="004845B7" w:rsidRDefault="00FF719C" w:rsidP="004845B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 xml:space="preserve">Initial design of penalty regime framework set out in regulations and the administration of penalty regime to be </w:t>
            </w:r>
            <w:r w:rsidR="00F23694" w:rsidRPr="004845B7">
              <w:rPr>
                <w:rFonts w:cs="Arial"/>
                <w:szCs w:val="24"/>
              </w:rPr>
              <w:t xml:space="preserve">set out </w:t>
            </w:r>
            <w:r w:rsidRPr="004845B7">
              <w:rPr>
                <w:rFonts w:cs="Arial"/>
                <w:szCs w:val="24"/>
              </w:rPr>
              <w:t xml:space="preserve">in codes </w:t>
            </w:r>
            <w:r w:rsidR="00F23694" w:rsidRPr="004845B7">
              <w:rPr>
                <w:rFonts w:cs="Arial"/>
                <w:szCs w:val="24"/>
              </w:rPr>
              <w:t xml:space="preserve">to allow </w:t>
            </w:r>
            <w:proofErr w:type="spellStart"/>
            <w:r w:rsidR="00F23694" w:rsidRPr="004845B7">
              <w:rPr>
                <w:rFonts w:cs="Arial"/>
                <w:szCs w:val="24"/>
              </w:rPr>
              <w:t>Ofgem</w:t>
            </w:r>
            <w:proofErr w:type="spellEnd"/>
            <w:r w:rsidR="00F23694" w:rsidRPr="004845B7">
              <w:rPr>
                <w:rFonts w:cs="Arial"/>
                <w:szCs w:val="24"/>
              </w:rPr>
              <w:t xml:space="preserve"> to approve changes through a non-legislative process </w:t>
            </w:r>
          </w:p>
        </w:tc>
      </w:tr>
      <w:tr w:rsidR="00CD5E25" w:rsidRPr="00285763" w:rsidTr="00417AED">
        <w:trPr>
          <w:trHeight w:val="1266"/>
        </w:trPr>
        <w:tc>
          <w:tcPr>
            <w:tcW w:w="2488" w:type="dxa"/>
          </w:tcPr>
          <w:p w:rsidR="00CD5E25" w:rsidRPr="004845B7" w:rsidRDefault="00CD5E25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  <w:p w:rsidR="00CD5E25" w:rsidRPr="004845B7" w:rsidRDefault="00CD5E25" w:rsidP="00417AED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</w:p>
        </w:tc>
        <w:tc>
          <w:tcPr>
            <w:tcW w:w="2883" w:type="dxa"/>
          </w:tcPr>
          <w:p w:rsidR="00CD5E25" w:rsidRPr="004845B7" w:rsidRDefault="00CD5E25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Role 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of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the System Operator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A82DBA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356" w:type="dxa"/>
          </w:tcPr>
          <w:p w:rsidR="00CD5E25" w:rsidRPr="004845B7" w:rsidRDefault="00CD5E25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ecisions fo</w:t>
            </w:r>
            <w:r>
              <w:rPr>
                <w:rFonts w:cs="Arial"/>
                <w:b/>
                <w:color w:val="1F497D" w:themeColor="text2"/>
                <w:szCs w:val="24"/>
              </w:rPr>
              <w:t xml:space="preserve">r Government/Ministers 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in </w:t>
            </w:r>
            <w:r>
              <w:rPr>
                <w:rFonts w:cs="Arial"/>
                <w:b/>
                <w:color w:val="1F497D" w:themeColor="text2"/>
                <w:szCs w:val="24"/>
              </w:rPr>
              <w:t>‘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>steady state</w:t>
            </w:r>
            <w:r>
              <w:rPr>
                <w:rFonts w:cs="Arial"/>
                <w:b/>
                <w:color w:val="1F497D" w:themeColor="text2"/>
                <w:szCs w:val="24"/>
              </w:rPr>
              <w:t>’</w:t>
            </w:r>
          </w:p>
        </w:tc>
        <w:tc>
          <w:tcPr>
            <w:tcW w:w="3076" w:type="dxa"/>
          </w:tcPr>
          <w:p w:rsidR="00CD5E25" w:rsidRPr="004845B7" w:rsidRDefault="00CD5E25" w:rsidP="00417AED">
            <w:pPr>
              <w:jc w:val="center"/>
              <w:rPr>
                <w:rFonts w:cs="Arial"/>
                <w:b/>
                <w:bCs/>
                <w:color w:val="1F497D" w:themeColor="text2"/>
                <w:szCs w:val="24"/>
              </w:rPr>
            </w:pPr>
            <w:r>
              <w:rPr>
                <w:rFonts w:cs="Arial"/>
                <w:b/>
                <w:color w:val="1F497D" w:themeColor="text2"/>
                <w:szCs w:val="24"/>
              </w:rPr>
              <w:t>D</w:t>
            </w:r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ecisions for </w:t>
            </w:r>
            <w:proofErr w:type="spellStart"/>
            <w:r w:rsidRPr="004845B7">
              <w:rPr>
                <w:rFonts w:cs="Arial"/>
                <w:b/>
                <w:color w:val="1F497D" w:themeColor="text2"/>
                <w:szCs w:val="24"/>
              </w:rPr>
              <w:t>Ofgem</w:t>
            </w:r>
            <w:proofErr w:type="spellEnd"/>
            <w:r w:rsidRPr="004845B7">
              <w:rPr>
                <w:rFonts w:cs="Arial"/>
                <w:b/>
                <w:color w:val="1F497D" w:themeColor="text2"/>
                <w:szCs w:val="24"/>
              </w:rPr>
              <w:t xml:space="preserve"> to oversee/change in steady state</w:t>
            </w:r>
          </w:p>
        </w:tc>
        <w:tc>
          <w:tcPr>
            <w:tcW w:w="2371" w:type="dxa"/>
          </w:tcPr>
          <w:p w:rsidR="00CD5E25" w:rsidRPr="004845B7" w:rsidRDefault="00CD5E25" w:rsidP="00417AED">
            <w:pPr>
              <w:jc w:val="center"/>
              <w:rPr>
                <w:rFonts w:cs="Arial"/>
                <w:b/>
                <w:bCs/>
                <w:color w:val="1F497D" w:themeColor="text2"/>
                <w:sz w:val="16"/>
                <w:szCs w:val="16"/>
              </w:rPr>
            </w:pPr>
            <w:r w:rsidRPr="00A82DBA">
              <w:rPr>
                <w:rFonts w:cs="Arial"/>
                <w:b/>
                <w:color w:val="1F497D" w:themeColor="text2"/>
                <w:szCs w:val="24"/>
              </w:rPr>
              <w:t xml:space="preserve">Choice of </w:t>
            </w:r>
            <w:r>
              <w:rPr>
                <w:rFonts w:cs="Arial"/>
                <w:b/>
                <w:color w:val="1F497D" w:themeColor="text2"/>
                <w:szCs w:val="24"/>
              </w:rPr>
              <w:t>Legislative Vehicle</w:t>
            </w:r>
          </w:p>
        </w:tc>
      </w:tr>
      <w:tr w:rsidR="00CB32D9" w:rsidTr="00906291">
        <w:tc>
          <w:tcPr>
            <w:tcW w:w="2488" w:type="dxa"/>
          </w:tcPr>
          <w:p w:rsidR="009C3F3E" w:rsidRPr="004845B7" w:rsidRDefault="009C3F3E" w:rsidP="002B4F5E">
            <w:pPr>
              <w:rPr>
                <w:rFonts w:cs="Arial"/>
                <w:b/>
                <w:bCs/>
                <w:color w:val="1F497D" w:themeColor="text2"/>
                <w:szCs w:val="24"/>
              </w:rPr>
            </w:pPr>
            <w:r w:rsidRPr="004845B7">
              <w:rPr>
                <w:rFonts w:cs="Arial"/>
                <w:b/>
                <w:color w:val="1F497D" w:themeColor="text2"/>
                <w:szCs w:val="24"/>
              </w:rPr>
              <w:t>Payment flows</w:t>
            </w:r>
          </w:p>
        </w:tc>
        <w:tc>
          <w:tcPr>
            <w:tcW w:w="2883" w:type="dxa"/>
          </w:tcPr>
          <w:p w:rsidR="009C3F3E" w:rsidRPr="004845B7" w:rsidRDefault="00FF719C" w:rsidP="004845B7">
            <w:pPr>
              <w:pStyle w:val="ListParagraph"/>
              <w:spacing w:after="0" w:line="240" w:lineRule="auto"/>
              <w:ind w:left="0"/>
              <w:rPr>
                <w:rFonts w:cs="Arial"/>
                <w:b/>
                <w:szCs w:val="24"/>
              </w:rPr>
            </w:pPr>
            <w:r w:rsidRPr="004845B7">
              <w:rPr>
                <w:rFonts w:cs="Arial"/>
                <w:b/>
                <w:szCs w:val="24"/>
              </w:rPr>
              <w:t xml:space="preserve">NB: This role will be carried out by the </w:t>
            </w:r>
            <w:r w:rsidR="007721E2" w:rsidRPr="004845B7">
              <w:rPr>
                <w:rFonts w:cs="Arial"/>
                <w:b/>
                <w:szCs w:val="24"/>
              </w:rPr>
              <w:t>s</w:t>
            </w:r>
            <w:r w:rsidRPr="004845B7">
              <w:rPr>
                <w:rFonts w:cs="Arial"/>
                <w:b/>
                <w:szCs w:val="24"/>
              </w:rPr>
              <w:t>ettlement body</w:t>
            </w:r>
          </w:p>
          <w:p w:rsidR="00FF719C" w:rsidRPr="004845B7" w:rsidRDefault="00FF719C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Checks financial information</w:t>
            </w:r>
          </w:p>
          <w:p w:rsidR="009C3F3E" w:rsidRPr="004845B7" w:rsidRDefault="00FF719C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Recovers payments from suppliers</w:t>
            </w:r>
          </w:p>
          <w:p w:rsidR="009C3F3E" w:rsidRDefault="00FF719C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Makes payments to capacity providers</w:t>
            </w:r>
          </w:p>
          <w:p w:rsidR="00CD5E25" w:rsidRPr="004845B7" w:rsidRDefault="00CD5E25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Holding of performance/financial bonds</w:t>
            </w:r>
          </w:p>
        </w:tc>
        <w:tc>
          <w:tcPr>
            <w:tcW w:w="3356" w:type="dxa"/>
          </w:tcPr>
          <w:p w:rsidR="009C3F3E" w:rsidRPr="004845B7" w:rsidRDefault="00B94BF4" w:rsidP="004845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076" w:type="dxa"/>
          </w:tcPr>
          <w:p w:rsidR="009C3F3E" w:rsidRPr="004845B7" w:rsidRDefault="009C3F3E" w:rsidP="004845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 xml:space="preserve">Allocation of costs across suppliers </w:t>
            </w:r>
          </w:p>
          <w:p w:rsidR="009C3F3E" w:rsidRPr="004845B7" w:rsidRDefault="009C3F3E" w:rsidP="004845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Any changes to the process around the making of payments</w:t>
            </w:r>
          </w:p>
          <w:p w:rsidR="009C3F3E" w:rsidRPr="004845B7" w:rsidRDefault="009C3F3E" w:rsidP="004845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Any changes to the process around how collateral held against liabilities</w:t>
            </w:r>
          </w:p>
          <w:p w:rsidR="009C3F3E" w:rsidRPr="004845B7" w:rsidRDefault="009C3F3E" w:rsidP="004845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4845B7">
              <w:rPr>
                <w:rFonts w:cs="Arial"/>
                <w:szCs w:val="24"/>
              </w:rPr>
              <w:t>Any changes to the processes that define the collection (from Capacity Market parties) and refund to suppliers of any penalties</w:t>
            </w:r>
          </w:p>
        </w:tc>
        <w:tc>
          <w:tcPr>
            <w:tcW w:w="2371" w:type="dxa"/>
          </w:tcPr>
          <w:p w:rsidR="009C3F3E" w:rsidRPr="004845B7" w:rsidRDefault="00B94BF4" w:rsidP="004845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“Code”</w:t>
            </w:r>
          </w:p>
        </w:tc>
      </w:tr>
    </w:tbl>
    <w:p w:rsidR="00B16256" w:rsidRDefault="00B16256" w:rsidP="00BC0A78">
      <w:pPr>
        <w:spacing w:after="0" w:line="240" w:lineRule="auto"/>
        <w:jc w:val="both"/>
        <w:rPr>
          <w:rFonts w:cs="Arial"/>
        </w:rPr>
      </w:pPr>
    </w:p>
    <w:sectPr w:rsidR="00B16256" w:rsidSect="009062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AED" w:rsidRDefault="00417AED" w:rsidP="00734AC3">
      <w:pPr>
        <w:spacing w:after="0" w:line="240" w:lineRule="auto"/>
      </w:pPr>
      <w:r>
        <w:separator/>
      </w:r>
    </w:p>
  </w:endnote>
  <w:endnote w:type="continuationSeparator" w:id="0">
    <w:p w:rsidR="00417AED" w:rsidRDefault="00417AED" w:rsidP="0073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748" w:rsidRDefault="007417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D" w:rsidRDefault="00682698">
    <w:pPr>
      <w:pStyle w:val="Footer"/>
      <w:jc w:val="right"/>
    </w:pPr>
    <w:fldSimple w:instr=" PAGE   \* MERGEFORMAT ">
      <w:r w:rsidR="00741748">
        <w:rPr>
          <w:noProof/>
        </w:rPr>
        <w:t>1</w:t>
      </w:r>
    </w:fldSimple>
  </w:p>
  <w:p w:rsidR="00417AED" w:rsidRPr="00734AC3" w:rsidRDefault="00417AED" w:rsidP="00734AC3">
    <w:pPr>
      <w:pStyle w:val="Footer"/>
      <w:jc w:val="center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748" w:rsidRDefault="007417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AED" w:rsidRDefault="00417AED" w:rsidP="00734AC3">
      <w:pPr>
        <w:spacing w:after="0" w:line="240" w:lineRule="auto"/>
      </w:pPr>
      <w:r>
        <w:separator/>
      </w:r>
    </w:p>
  </w:footnote>
  <w:footnote w:type="continuationSeparator" w:id="0">
    <w:p w:rsidR="00417AED" w:rsidRDefault="00417AED" w:rsidP="0073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748" w:rsidRDefault="007417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74" w:rsidRPr="000B7017" w:rsidRDefault="00337074" w:rsidP="00337074">
    <w:pPr>
      <w:pStyle w:val="Header"/>
      <w:jc w:val="center"/>
      <w:rPr>
        <w:b/>
      </w:rPr>
    </w:pPr>
    <w:r w:rsidRPr="00337074">
      <w:rPr>
        <w:b/>
        <w:bCs/>
      </w:rPr>
      <w:t>EMR Expert Group papers are not a statement of Government policy or policy intent</w:t>
    </w:r>
    <w:r w:rsidRPr="00337074">
      <w:rPr>
        <w:b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748" w:rsidRDefault="007417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04889"/>
    <w:multiLevelType w:val="hybridMultilevel"/>
    <w:tmpl w:val="E77898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73635"/>
    <w:multiLevelType w:val="hybridMultilevel"/>
    <w:tmpl w:val="A76EC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834691"/>
    <w:multiLevelType w:val="hybridMultilevel"/>
    <w:tmpl w:val="A698A3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444050"/>
    <w:multiLevelType w:val="hybridMultilevel"/>
    <w:tmpl w:val="E2EE6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D3F07"/>
    <w:multiLevelType w:val="hybridMultilevel"/>
    <w:tmpl w:val="6AD873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C62D20"/>
    <w:multiLevelType w:val="hybridMultilevel"/>
    <w:tmpl w:val="B614D3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C82254"/>
    <w:multiLevelType w:val="hybridMultilevel"/>
    <w:tmpl w:val="F3525930"/>
    <w:lvl w:ilvl="0" w:tplc="31EC9C4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284858"/>
    <w:multiLevelType w:val="hybridMultilevel"/>
    <w:tmpl w:val="B93852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D332A6"/>
    <w:multiLevelType w:val="hybridMultilevel"/>
    <w:tmpl w:val="D73EEA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C76AEA"/>
    <w:multiLevelType w:val="hybridMultilevel"/>
    <w:tmpl w:val="C55E4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E64CDB"/>
    <w:multiLevelType w:val="hybridMultilevel"/>
    <w:tmpl w:val="CB74C0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D75369"/>
    <w:multiLevelType w:val="hybridMultilevel"/>
    <w:tmpl w:val="6E7292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AA6855"/>
    <w:rsid w:val="0000486B"/>
    <w:rsid w:val="00005884"/>
    <w:rsid w:val="00006660"/>
    <w:rsid w:val="00021774"/>
    <w:rsid w:val="000276B5"/>
    <w:rsid w:val="00033C29"/>
    <w:rsid w:val="0003626A"/>
    <w:rsid w:val="00041F92"/>
    <w:rsid w:val="000425E4"/>
    <w:rsid w:val="00045D5F"/>
    <w:rsid w:val="000516E5"/>
    <w:rsid w:val="00052B2A"/>
    <w:rsid w:val="00054D21"/>
    <w:rsid w:val="0005696F"/>
    <w:rsid w:val="000600C7"/>
    <w:rsid w:val="0008038C"/>
    <w:rsid w:val="0009098E"/>
    <w:rsid w:val="00091792"/>
    <w:rsid w:val="00094611"/>
    <w:rsid w:val="00095DD1"/>
    <w:rsid w:val="000A137B"/>
    <w:rsid w:val="000A323F"/>
    <w:rsid w:val="000B027A"/>
    <w:rsid w:val="000B0C11"/>
    <w:rsid w:val="000B2FF7"/>
    <w:rsid w:val="000B7017"/>
    <w:rsid w:val="000C00F2"/>
    <w:rsid w:val="000C4A46"/>
    <w:rsid w:val="000D6086"/>
    <w:rsid w:val="000E59B8"/>
    <w:rsid w:val="000F52BE"/>
    <w:rsid w:val="00101F00"/>
    <w:rsid w:val="001114AD"/>
    <w:rsid w:val="00112409"/>
    <w:rsid w:val="0011370F"/>
    <w:rsid w:val="00123CB2"/>
    <w:rsid w:val="00143E5A"/>
    <w:rsid w:val="00143FE5"/>
    <w:rsid w:val="0015011C"/>
    <w:rsid w:val="001514D4"/>
    <w:rsid w:val="00154CE5"/>
    <w:rsid w:val="00156EC2"/>
    <w:rsid w:val="0016299D"/>
    <w:rsid w:val="00162DD2"/>
    <w:rsid w:val="001736FF"/>
    <w:rsid w:val="001849E3"/>
    <w:rsid w:val="00187397"/>
    <w:rsid w:val="00190468"/>
    <w:rsid w:val="00197737"/>
    <w:rsid w:val="001B2A8E"/>
    <w:rsid w:val="001B332B"/>
    <w:rsid w:val="001C5A12"/>
    <w:rsid w:val="001D0795"/>
    <w:rsid w:val="001D4428"/>
    <w:rsid w:val="001D7E15"/>
    <w:rsid w:val="001E2E1E"/>
    <w:rsid w:val="00211AA1"/>
    <w:rsid w:val="0021250C"/>
    <w:rsid w:val="00212805"/>
    <w:rsid w:val="00222278"/>
    <w:rsid w:val="002257FE"/>
    <w:rsid w:val="00226F91"/>
    <w:rsid w:val="0023263A"/>
    <w:rsid w:val="00243943"/>
    <w:rsid w:val="00243F79"/>
    <w:rsid w:val="0024594D"/>
    <w:rsid w:val="00255401"/>
    <w:rsid w:val="00263D54"/>
    <w:rsid w:val="00272AFF"/>
    <w:rsid w:val="00274B1E"/>
    <w:rsid w:val="002764AD"/>
    <w:rsid w:val="00280396"/>
    <w:rsid w:val="00284536"/>
    <w:rsid w:val="00285763"/>
    <w:rsid w:val="00287F72"/>
    <w:rsid w:val="00294511"/>
    <w:rsid w:val="0029463D"/>
    <w:rsid w:val="00296FF7"/>
    <w:rsid w:val="002A0B08"/>
    <w:rsid w:val="002A7525"/>
    <w:rsid w:val="002B4F5E"/>
    <w:rsid w:val="002D48B6"/>
    <w:rsid w:val="002D6855"/>
    <w:rsid w:val="002D68A6"/>
    <w:rsid w:val="002D6971"/>
    <w:rsid w:val="002E1735"/>
    <w:rsid w:val="002E3514"/>
    <w:rsid w:val="002E3C82"/>
    <w:rsid w:val="002F5E00"/>
    <w:rsid w:val="002F5FF8"/>
    <w:rsid w:val="00304EA1"/>
    <w:rsid w:val="003056C2"/>
    <w:rsid w:val="003064B4"/>
    <w:rsid w:val="003128DA"/>
    <w:rsid w:val="00314692"/>
    <w:rsid w:val="00326A25"/>
    <w:rsid w:val="00327840"/>
    <w:rsid w:val="00337074"/>
    <w:rsid w:val="00337EC6"/>
    <w:rsid w:val="00341F14"/>
    <w:rsid w:val="00347439"/>
    <w:rsid w:val="00355CC1"/>
    <w:rsid w:val="0035726A"/>
    <w:rsid w:val="003575A6"/>
    <w:rsid w:val="00361256"/>
    <w:rsid w:val="0036183B"/>
    <w:rsid w:val="0037133C"/>
    <w:rsid w:val="003724CD"/>
    <w:rsid w:val="00385DCE"/>
    <w:rsid w:val="00386F4C"/>
    <w:rsid w:val="00387B49"/>
    <w:rsid w:val="003A245E"/>
    <w:rsid w:val="003A30D8"/>
    <w:rsid w:val="003A6571"/>
    <w:rsid w:val="003B44CA"/>
    <w:rsid w:val="003C03F7"/>
    <w:rsid w:val="003C2184"/>
    <w:rsid w:val="003D0BEE"/>
    <w:rsid w:val="003E269C"/>
    <w:rsid w:val="003E5F4A"/>
    <w:rsid w:val="003F369B"/>
    <w:rsid w:val="003F7527"/>
    <w:rsid w:val="00412293"/>
    <w:rsid w:val="00417AED"/>
    <w:rsid w:val="00423A0A"/>
    <w:rsid w:val="00430F88"/>
    <w:rsid w:val="00431103"/>
    <w:rsid w:val="00431B63"/>
    <w:rsid w:val="0043715A"/>
    <w:rsid w:val="004473F8"/>
    <w:rsid w:val="004479F6"/>
    <w:rsid w:val="004501F8"/>
    <w:rsid w:val="0045725D"/>
    <w:rsid w:val="00460E86"/>
    <w:rsid w:val="00475282"/>
    <w:rsid w:val="0048068F"/>
    <w:rsid w:val="004828AB"/>
    <w:rsid w:val="004845B7"/>
    <w:rsid w:val="00497326"/>
    <w:rsid w:val="00497A77"/>
    <w:rsid w:val="004A052A"/>
    <w:rsid w:val="004A087A"/>
    <w:rsid w:val="004B4C0A"/>
    <w:rsid w:val="004B637B"/>
    <w:rsid w:val="004B6589"/>
    <w:rsid w:val="004C2420"/>
    <w:rsid w:val="004D299A"/>
    <w:rsid w:val="004E02B7"/>
    <w:rsid w:val="004E153C"/>
    <w:rsid w:val="004E22C9"/>
    <w:rsid w:val="004E27B4"/>
    <w:rsid w:val="004E4257"/>
    <w:rsid w:val="004F1ECE"/>
    <w:rsid w:val="004F4FF3"/>
    <w:rsid w:val="005020FC"/>
    <w:rsid w:val="005028D7"/>
    <w:rsid w:val="005076E2"/>
    <w:rsid w:val="00513CBD"/>
    <w:rsid w:val="00515757"/>
    <w:rsid w:val="00525E95"/>
    <w:rsid w:val="005331DA"/>
    <w:rsid w:val="00534BB8"/>
    <w:rsid w:val="00537726"/>
    <w:rsid w:val="0054340B"/>
    <w:rsid w:val="0054768C"/>
    <w:rsid w:val="005617F1"/>
    <w:rsid w:val="0056235E"/>
    <w:rsid w:val="0056431E"/>
    <w:rsid w:val="005766F7"/>
    <w:rsid w:val="00581444"/>
    <w:rsid w:val="0058165A"/>
    <w:rsid w:val="00587AB3"/>
    <w:rsid w:val="005A0CE1"/>
    <w:rsid w:val="005A2F8B"/>
    <w:rsid w:val="005A440E"/>
    <w:rsid w:val="005A78BD"/>
    <w:rsid w:val="005C4836"/>
    <w:rsid w:val="005D3530"/>
    <w:rsid w:val="005D3533"/>
    <w:rsid w:val="005D48C4"/>
    <w:rsid w:val="005E63AD"/>
    <w:rsid w:val="005F098C"/>
    <w:rsid w:val="005F472B"/>
    <w:rsid w:val="005F6F32"/>
    <w:rsid w:val="00602BB2"/>
    <w:rsid w:val="00605037"/>
    <w:rsid w:val="0061155D"/>
    <w:rsid w:val="00612F03"/>
    <w:rsid w:val="00613BBD"/>
    <w:rsid w:val="00615D71"/>
    <w:rsid w:val="0061715F"/>
    <w:rsid w:val="00617FA6"/>
    <w:rsid w:val="00624026"/>
    <w:rsid w:val="0062655B"/>
    <w:rsid w:val="00632F04"/>
    <w:rsid w:val="00641C0C"/>
    <w:rsid w:val="00657C71"/>
    <w:rsid w:val="006627A6"/>
    <w:rsid w:val="00662BFC"/>
    <w:rsid w:val="006632B3"/>
    <w:rsid w:val="00663D7C"/>
    <w:rsid w:val="006731AE"/>
    <w:rsid w:val="00676D73"/>
    <w:rsid w:val="0068079A"/>
    <w:rsid w:val="00682698"/>
    <w:rsid w:val="00684712"/>
    <w:rsid w:val="00691539"/>
    <w:rsid w:val="0069247A"/>
    <w:rsid w:val="00693910"/>
    <w:rsid w:val="006A13C5"/>
    <w:rsid w:val="006B409B"/>
    <w:rsid w:val="006B4944"/>
    <w:rsid w:val="006B5733"/>
    <w:rsid w:val="006B705D"/>
    <w:rsid w:val="006C214A"/>
    <w:rsid w:val="006C7CA5"/>
    <w:rsid w:val="006D3718"/>
    <w:rsid w:val="006D7652"/>
    <w:rsid w:val="006D7920"/>
    <w:rsid w:val="006E094A"/>
    <w:rsid w:val="006E578F"/>
    <w:rsid w:val="006F2ECD"/>
    <w:rsid w:val="006F5819"/>
    <w:rsid w:val="006F5F51"/>
    <w:rsid w:val="00702C5B"/>
    <w:rsid w:val="0071327A"/>
    <w:rsid w:val="007137A7"/>
    <w:rsid w:val="007250D8"/>
    <w:rsid w:val="007253DE"/>
    <w:rsid w:val="00730B7F"/>
    <w:rsid w:val="00731267"/>
    <w:rsid w:val="007315A4"/>
    <w:rsid w:val="00732A1A"/>
    <w:rsid w:val="00734AC3"/>
    <w:rsid w:val="007353C1"/>
    <w:rsid w:val="007355B4"/>
    <w:rsid w:val="00735E3D"/>
    <w:rsid w:val="00736103"/>
    <w:rsid w:val="007404EC"/>
    <w:rsid w:val="00741748"/>
    <w:rsid w:val="00744F45"/>
    <w:rsid w:val="00752144"/>
    <w:rsid w:val="007579F2"/>
    <w:rsid w:val="00761D00"/>
    <w:rsid w:val="0076403F"/>
    <w:rsid w:val="007642EF"/>
    <w:rsid w:val="007678B8"/>
    <w:rsid w:val="0077038B"/>
    <w:rsid w:val="007716A7"/>
    <w:rsid w:val="007721E2"/>
    <w:rsid w:val="00776A24"/>
    <w:rsid w:val="00780BC2"/>
    <w:rsid w:val="0079463A"/>
    <w:rsid w:val="007A237A"/>
    <w:rsid w:val="007C0014"/>
    <w:rsid w:val="007C20A4"/>
    <w:rsid w:val="007D0F87"/>
    <w:rsid w:val="007D5560"/>
    <w:rsid w:val="007F0E79"/>
    <w:rsid w:val="007F1742"/>
    <w:rsid w:val="007F224C"/>
    <w:rsid w:val="007F37DB"/>
    <w:rsid w:val="007F3898"/>
    <w:rsid w:val="008012DD"/>
    <w:rsid w:val="008026D7"/>
    <w:rsid w:val="00803206"/>
    <w:rsid w:val="00811FD3"/>
    <w:rsid w:val="008153EB"/>
    <w:rsid w:val="008179D6"/>
    <w:rsid w:val="008242BD"/>
    <w:rsid w:val="0082608D"/>
    <w:rsid w:val="00826F8A"/>
    <w:rsid w:val="00830E33"/>
    <w:rsid w:val="008407ED"/>
    <w:rsid w:val="00841B80"/>
    <w:rsid w:val="00843C2A"/>
    <w:rsid w:val="0084439D"/>
    <w:rsid w:val="00850068"/>
    <w:rsid w:val="008500F9"/>
    <w:rsid w:val="00860816"/>
    <w:rsid w:val="00867D62"/>
    <w:rsid w:val="008915B3"/>
    <w:rsid w:val="00893416"/>
    <w:rsid w:val="008A220D"/>
    <w:rsid w:val="008A728A"/>
    <w:rsid w:val="008B1C4E"/>
    <w:rsid w:val="008C272F"/>
    <w:rsid w:val="008C2B2C"/>
    <w:rsid w:val="008D56A3"/>
    <w:rsid w:val="008E2592"/>
    <w:rsid w:val="008E31A2"/>
    <w:rsid w:val="008F7BB9"/>
    <w:rsid w:val="00905534"/>
    <w:rsid w:val="00906291"/>
    <w:rsid w:val="0090648D"/>
    <w:rsid w:val="00944086"/>
    <w:rsid w:val="0094779A"/>
    <w:rsid w:val="00960F6D"/>
    <w:rsid w:val="009616BA"/>
    <w:rsid w:val="00972ED0"/>
    <w:rsid w:val="00973675"/>
    <w:rsid w:val="009832E2"/>
    <w:rsid w:val="00985C32"/>
    <w:rsid w:val="009868CA"/>
    <w:rsid w:val="009A29A7"/>
    <w:rsid w:val="009A56CB"/>
    <w:rsid w:val="009B68D8"/>
    <w:rsid w:val="009C3F3E"/>
    <w:rsid w:val="009C67D5"/>
    <w:rsid w:val="009D398D"/>
    <w:rsid w:val="009E1DCB"/>
    <w:rsid w:val="009F0955"/>
    <w:rsid w:val="009F6122"/>
    <w:rsid w:val="00A0050A"/>
    <w:rsid w:val="00A021A6"/>
    <w:rsid w:val="00A05390"/>
    <w:rsid w:val="00A10F8D"/>
    <w:rsid w:val="00A115CB"/>
    <w:rsid w:val="00A14AF2"/>
    <w:rsid w:val="00A1785E"/>
    <w:rsid w:val="00A21CF9"/>
    <w:rsid w:val="00A226C4"/>
    <w:rsid w:val="00A25E61"/>
    <w:rsid w:val="00A33434"/>
    <w:rsid w:val="00A42684"/>
    <w:rsid w:val="00A443F7"/>
    <w:rsid w:val="00A522C7"/>
    <w:rsid w:val="00A63943"/>
    <w:rsid w:val="00A73061"/>
    <w:rsid w:val="00A75B55"/>
    <w:rsid w:val="00A77AA3"/>
    <w:rsid w:val="00A82DBA"/>
    <w:rsid w:val="00A933BD"/>
    <w:rsid w:val="00A94514"/>
    <w:rsid w:val="00A961E3"/>
    <w:rsid w:val="00AA6855"/>
    <w:rsid w:val="00AB3CF7"/>
    <w:rsid w:val="00AB5912"/>
    <w:rsid w:val="00AB6E6C"/>
    <w:rsid w:val="00AC01C7"/>
    <w:rsid w:val="00AC582E"/>
    <w:rsid w:val="00AC7659"/>
    <w:rsid w:val="00AD2953"/>
    <w:rsid w:val="00AD7B0F"/>
    <w:rsid w:val="00AE104A"/>
    <w:rsid w:val="00AE5B07"/>
    <w:rsid w:val="00AF3FC3"/>
    <w:rsid w:val="00AF4E85"/>
    <w:rsid w:val="00AF598F"/>
    <w:rsid w:val="00AF6581"/>
    <w:rsid w:val="00B016FC"/>
    <w:rsid w:val="00B10697"/>
    <w:rsid w:val="00B1088E"/>
    <w:rsid w:val="00B10E61"/>
    <w:rsid w:val="00B159FB"/>
    <w:rsid w:val="00B16256"/>
    <w:rsid w:val="00B21092"/>
    <w:rsid w:val="00B21FE4"/>
    <w:rsid w:val="00B27B11"/>
    <w:rsid w:val="00B36DFB"/>
    <w:rsid w:val="00B4259B"/>
    <w:rsid w:val="00B44B4D"/>
    <w:rsid w:val="00B46F26"/>
    <w:rsid w:val="00B51007"/>
    <w:rsid w:val="00B54E4D"/>
    <w:rsid w:val="00B618DE"/>
    <w:rsid w:val="00B6304D"/>
    <w:rsid w:val="00B64EFD"/>
    <w:rsid w:val="00B7073D"/>
    <w:rsid w:val="00B73E54"/>
    <w:rsid w:val="00B7790A"/>
    <w:rsid w:val="00B8005A"/>
    <w:rsid w:val="00B8668A"/>
    <w:rsid w:val="00B928F7"/>
    <w:rsid w:val="00B94BF4"/>
    <w:rsid w:val="00BA5D5E"/>
    <w:rsid w:val="00BA66D0"/>
    <w:rsid w:val="00BB22BD"/>
    <w:rsid w:val="00BC0A78"/>
    <w:rsid w:val="00BC5808"/>
    <w:rsid w:val="00BC7C1A"/>
    <w:rsid w:val="00BE48DC"/>
    <w:rsid w:val="00BE6BC3"/>
    <w:rsid w:val="00BF0A84"/>
    <w:rsid w:val="00BF0F47"/>
    <w:rsid w:val="00BF21F7"/>
    <w:rsid w:val="00BF4EB0"/>
    <w:rsid w:val="00C00CB7"/>
    <w:rsid w:val="00C051F7"/>
    <w:rsid w:val="00C05AB9"/>
    <w:rsid w:val="00C16AE7"/>
    <w:rsid w:val="00C207AF"/>
    <w:rsid w:val="00C21D72"/>
    <w:rsid w:val="00C3391A"/>
    <w:rsid w:val="00C34770"/>
    <w:rsid w:val="00C34F94"/>
    <w:rsid w:val="00C3600D"/>
    <w:rsid w:val="00C36B0B"/>
    <w:rsid w:val="00C37A7B"/>
    <w:rsid w:val="00C419DC"/>
    <w:rsid w:val="00C43461"/>
    <w:rsid w:val="00C50283"/>
    <w:rsid w:val="00C6279B"/>
    <w:rsid w:val="00C65BCB"/>
    <w:rsid w:val="00C67D21"/>
    <w:rsid w:val="00C77605"/>
    <w:rsid w:val="00C9576E"/>
    <w:rsid w:val="00C96BCC"/>
    <w:rsid w:val="00CA4803"/>
    <w:rsid w:val="00CA55C3"/>
    <w:rsid w:val="00CB2187"/>
    <w:rsid w:val="00CB32D9"/>
    <w:rsid w:val="00CB77F2"/>
    <w:rsid w:val="00CB7941"/>
    <w:rsid w:val="00CC00A8"/>
    <w:rsid w:val="00CC4EAB"/>
    <w:rsid w:val="00CD1A57"/>
    <w:rsid w:val="00CD562B"/>
    <w:rsid w:val="00CD5E25"/>
    <w:rsid w:val="00CD6D3A"/>
    <w:rsid w:val="00CD7522"/>
    <w:rsid w:val="00CE2290"/>
    <w:rsid w:val="00CE2914"/>
    <w:rsid w:val="00CE3EBA"/>
    <w:rsid w:val="00CE4134"/>
    <w:rsid w:val="00CF0A71"/>
    <w:rsid w:val="00CF1028"/>
    <w:rsid w:val="00CF6673"/>
    <w:rsid w:val="00D045C8"/>
    <w:rsid w:val="00D14FC8"/>
    <w:rsid w:val="00D2603A"/>
    <w:rsid w:val="00D26C4A"/>
    <w:rsid w:val="00D4098E"/>
    <w:rsid w:val="00D41648"/>
    <w:rsid w:val="00D44BD1"/>
    <w:rsid w:val="00D462CC"/>
    <w:rsid w:val="00D47B8D"/>
    <w:rsid w:val="00D532B9"/>
    <w:rsid w:val="00D5527D"/>
    <w:rsid w:val="00D60B55"/>
    <w:rsid w:val="00D61161"/>
    <w:rsid w:val="00D616FE"/>
    <w:rsid w:val="00D67A1C"/>
    <w:rsid w:val="00D859AD"/>
    <w:rsid w:val="00D85C20"/>
    <w:rsid w:val="00D87FC3"/>
    <w:rsid w:val="00D932DB"/>
    <w:rsid w:val="00D9592E"/>
    <w:rsid w:val="00DA1CA3"/>
    <w:rsid w:val="00DA4A2D"/>
    <w:rsid w:val="00DC1C4C"/>
    <w:rsid w:val="00DC39F3"/>
    <w:rsid w:val="00DD181C"/>
    <w:rsid w:val="00DD7460"/>
    <w:rsid w:val="00DE0508"/>
    <w:rsid w:val="00E0125C"/>
    <w:rsid w:val="00E03A3B"/>
    <w:rsid w:val="00E13BC7"/>
    <w:rsid w:val="00E14A94"/>
    <w:rsid w:val="00E211ED"/>
    <w:rsid w:val="00E31D56"/>
    <w:rsid w:val="00E364CD"/>
    <w:rsid w:val="00E46987"/>
    <w:rsid w:val="00E50CC0"/>
    <w:rsid w:val="00E60F99"/>
    <w:rsid w:val="00E64169"/>
    <w:rsid w:val="00E6563D"/>
    <w:rsid w:val="00E71BDB"/>
    <w:rsid w:val="00E7630D"/>
    <w:rsid w:val="00E80651"/>
    <w:rsid w:val="00EA2375"/>
    <w:rsid w:val="00EA23BA"/>
    <w:rsid w:val="00EA42AD"/>
    <w:rsid w:val="00EA4E06"/>
    <w:rsid w:val="00EB16CE"/>
    <w:rsid w:val="00EB6346"/>
    <w:rsid w:val="00EC4F89"/>
    <w:rsid w:val="00EC6FCA"/>
    <w:rsid w:val="00ED3421"/>
    <w:rsid w:val="00ED37F3"/>
    <w:rsid w:val="00EE2A24"/>
    <w:rsid w:val="00EE4F68"/>
    <w:rsid w:val="00EF403C"/>
    <w:rsid w:val="00EF4BA3"/>
    <w:rsid w:val="00F034B3"/>
    <w:rsid w:val="00F1529F"/>
    <w:rsid w:val="00F154CD"/>
    <w:rsid w:val="00F23694"/>
    <w:rsid w:val="00F242B0"/>
    <w:rsid w:val="00F2641F"/>
    <w:rsid w:val="00F27539"/>
    <w:rsid w:val="00F27B0A"/>
    <w:rsid w:val="00F30361"/>
    <w:rsid w:val="00F3195E"/>
    <w:rsid w:val="00F3420A"/>
    <w:rsid w:val="00F3450D"/>
    <w:rsid w:val="00F424DA"/>
    <w:rsid w:val="00F5207E"/>
    <w:rsid w:val="00F523F4"/>
    <w:rsid w:val="00F5553B"/>
    <w:rsid w:val="00F556A1"/>
    <w:rsid w:val="00F57699"/>
    <w:rsid w:val="00F576C3"/>
    <w:rsid w:val="00F65149"/>
    <w:rsid w:val="00F668C7"/>
    <w:rsid w:val="00F70720"/>
    <w:rsid w:val="00F74AFF"/>
    <w:rsid w:val="00F80EEF"/>
    <w:rsid w:val="00F82879"/>
    <w:rsid w:val="00F925B8"/>
    <w:rsid w:val="00F9279A"/>
    <w:rsid w:val="00F93A00"/>
    <w:rsid w:val="00F95EA3"/>
    <w:rsid w:val="00FA07CA"/>
    <w:rsid w:val="00FB002B"/>
    <w:rsid w:val="00FB0C92"/>
    <w:rsid w:val="00FB5D51"/>
    <w:rsid w:val="00FC4ECA"/>
    <w:rsid w:val="00FC6713"/>
    <w:rsid w:val="00FD0B87"/>
    <w:rsid w:val="00FD3058"/>
    <w:rsid w:val="00FD35B0"/>
    <w:rsid w:val="00FD42F1"/>
    <w:rsid w:val="00FD665E"/>
    <w:rsid w:val="00FD67A2"/>
    <w:rsid w:val="00FE1EAB"/>
    <w:rsid w:val="00FE6ED6"/>
    <w:rsid w:val="00FF0EF8"/>
    <w:rsid w:val="00FF2677"/>
    <w:rsid w:val="00FF676A"/>
    <w:rsid w:val="00FF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B3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6279B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List Paragraph1,Bullet 1,Bullet Points,MAIN CONTENT,List Paragraph11,OBC Bullet,List Paragraph12,F5 List Paragraph,Colorful List - Accent 11,Normal numbered"/>
    <w:basedOn w:val="Normal"/>
    <w:link w:val="ListParagraphChar"/>
    <w:uiPriority w:val="34"/>
    <w:qFormat/>
    <w:rsid w:val="00AA6855"/>
    <w:pPr>
      <w:ind w:left="720"/>
      <w:contextualSpacing/>
    </w:pPr>
  </w:style>
  <w:style w:type="paragraph" w:customStyle="1" w:styleId="CharChar1">
    <w:name w:val="Char Char1"/>
    <w:rsid w:val="00AC582E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6279B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39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34A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AC3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4A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AC3"/>
    <w:rPr>
      <w:sz w:val="24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423A0A"/>
    <w:rPr>
      <w:color w:val="0000FF"/>
      <w:u w:val="single"/>
    </w:rPr>
  </w:style>
  <w:style w:type="table" w:styleId="TableGrid">
    <w:name w:val="Table Grid"/>
    <w:basedOn w:val="TableNormal"/>
    <w:uiPriority w:val="59"/>
    <w:rsid w:val="00AC76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List Paragraph11 Char,OBC Bullet Char"/>
    <w:basedOn w:val="DefaultParagraphFont"/>
    <w:link w:val="ListParagraph"/>
    <w:uiPriority w:val="34"/>
    <w:qFormat/>
    <w:locked/>
    <w:rsid w:val="004E22C9"/>
    <w:rPr>
      <w:sz w:val="24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97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7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7A7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A77"/>
    <w:rPr>
      <w:b/>
      <w:bCs/>
    </w:rPr>
  </w:style>
  <w:style w:type="table" w:styleId="LightList-Accent5">
    <w:name w:val="Light List Accent 5"/>
    <w:basedOn w:val="TableNormal"/>
    <w:uiPriority w:val="61"/>
    <w:rsid w:val="00A9451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Shading1-Accent5">
    <w:name w:val="Medium Shading 1 Accent 5"/>
    <w:basedOn w:val="TableNormal"/>
    <w:uiPriority w:val="63"/>
    <w:rsid w:val="00A9451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780BC2"/>
    <w:rPr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37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370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370F"/>
    <w:rPr>
      <w:vertAlign w:val="superscript"/>
    </w:rPr>
  </w:style>
  <w:style w:type="table" w:styleId="MediumGrid1-Accent5">
    <w:name w:val="Medium Grid 1 Accent 5"/>
    <w:basedOn w:val="TableNormal"/>
    <w:uiPriority w:val="67"/>
    <w:rsid w:val="00355CC1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215E836FBE8B499EB03A51A5FBAE5A" ma:contentTypeVersion="1" ma:contentTypeDescription="Create a new document." ma:contentTypeScope="" ma:versionID="9b7ad0439b2601e28dbd362b102ced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294A-FC97-4981-94A7-275DF3D1491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3D32390-F88F-4F8C-9396-66A586A5C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03288-8B28-450E-A0E6-F6E011972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7CA18-12D3-42AD-B3CC-470EE6A6379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264D11D-9481-424E-B0A6-B32104F1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LC</cp:lastModifiedBy>
  <cp:revision>3</cp:revision>
  <cp:lastPrinted>2013-03-06T09:13:00Z</cp:lastPrinted>
  <dcterms:created xsi:type="dcterms:W3CDTF">2013-03-06T15:28:00Z</dcterms:created>
  <dcterms:modified xsi:type="dcterms:W3CDTF">2013-03-07T14:58:00Z</dcterms:modified>
</cp:coreProperties>
</file>